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43632" w:rsidRDefault="007F256B"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r>
        <w:rPr>
          <w:rFonts w:ascii="Times New Roman" w:eastAsia="Times New Roman" w:hAnsi="Times New Roman" w:cs="Times New Roman"/>
          <w:b/>
          <w:bCs/>
          <w:noProof/>
          <w:color w:val="000000"/>
          <w:sz w:val="32"/>
          <w:szCs w:val="24"/>
          <w:lang w:eastAsia="ru-RU"/>
        </w:rPr>
        <w:drawing>
          <wp:inline distT="0" distB="0" distL="0" distR="0">
            <wp:extent cx="6657439" cy="9631372"/>
            <wp:effectExtent l="19050" t="0" r="0" b="0"/>
            <wp:docPr id="3" name="Рисунок 2" descr="C:\Users\max\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1.jpeg"/>
                    <pic:cNvPicPr>
                      <a:picLocks noChangeAspect="1" noChangeArrowheads="1"/>
                    </pic:cNvPicPr>
                  </pic:nvPicPr>
                  <pic:blipFill>
                    <a:blip r:embed="rId6" cstate="print"/>
                    <a:srcRect l="4372" t="2769" r="5642" b="2564"/>
                    <a:stretch>
                      <a:fillRect/>
                    </a:stretch>
                  </pic:blipFill>
                  <pic:spPr bwMode="auto">
                    <a:xfrm>
                      <a:off x="0" y="0"/>
                      <a:ext cx="6657995" cy="9632177"/>
                    </a:xfrm>
                    <a:prstGeom prst="rect">
                      <a:avLst/>
                    </a:prstGeom>
                    <a:noFill/>
                    <a:ln w="9525">
                      <a:noFill/>
                      <a:miter lim="800000"/>
                      <a:headEnd/>
                      <a:tailEnd/>
                    </a:ln>
                  </pic:spPr>
                </pic:pic>
              </a:graphicData>
            </a:graphic>
          </wp:inline>
        </w:drawing>
      </w:r>
    </w:p>
    <w:p w:rsidR="00CB357A" w:rsidRDefault="00CB357A" w:rsidP="000519D6">
      <w:pPr>
        <w:shd w:val="clear" w:color="auto" w:fill="FFFFFF"/>
        <w:spacing w:after="0" w:line="240" w:lineRule="auto"/>
        <w:rPr>
          <w:rFonts w:ascii="Times New Roman" w:eastAsia="Times New Roman" w:hAnsi="Times New Roman" w:cs="Times New Roman"/>
          <w:b/>
          <w:bCs/>
          <w:color w:val="000000"/>
          <w:sz w:val="32"/>
          <w:szCs w:val="24"/>
          <w:lang w:eastAsia="ru-RU"/>
        </w:rPr>
      </w:pPr>
      <w:bookmarkStart w:id="0" w:name="_GoBack"/>
      <w:bookmarkEnd w:id="0"/>
    </w:p>
    <w:p w:rsidR="00222982" w:rsidRPr="00222982" w:rsidRDefault="00222982" w:rsidP="00611B24">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Программа</w:t>
      </w:r>
      <w:r w:rsidR="00611B24">
        <w:rPr>
          <w:rFonts w:ascii="Times New Roman" w:eastAsia="Times New Roman" w:hAnsi="Times New Roman" w:cs="Times New Roman"/>
          <w:color w:val="000000"/>
          <w:sz w:val="32"/>
          <w:szCs w:val="24"/>
          <w:lang w:eastAsia="ru-RU"/>
        </w:rPr>
        <w:t xml:space="preserve"> </w:t>
      </w:r>
      <w:r w:rsidRPr="00222982">
        <w:rPr>
          <w:rFonts w:ascii="Times New Roman" w:eastAsia="Times New Roman" w:hAnsi="Times New Roman" w:cs="Times New Roman"/>
          <w:b/>
          <w:bCs/>
          <w:color w:val="000000"/>
          <w:sz w:val="32"/>
          <w:szCs w:val="24"/>
          <w:lang w:eastAsia="ru-RU"/>
        </w:rPr>
        <w:t>«Про</w:t>
      </w:r>
      <w:r w:rsidR="00943632">
        <w:rPr>
          <w:rFonts w:ascii="Times New Roman" w:eastAsia="Times New Roman" w:hAnsi="Times New Roman" w:cs="Times New Roman"/>
          <w:b/>
          <w:bCs/>
          <w:color w:val="000000"/>
          <w:sz w:val="32"/>
          <w:szCs w:val="24"/>
          <w:lang w:eastAsia="ru-RU"/>
        </w:rPr>
        <w:t>филактика идеологии</w:t>
      </w:r>
      <w:r w:rsidRPr="00222982">
        <w:rPr>
          <w:rFonts w:ascii="Times New Roman" w:eastAsia="Times New Roman" w:hAnsi="Times New Roman" w:cs="Times New Roman"/>
          <w:b/>
          <w:bCs/>
          <w:color w:val="000000"/>
          <w:sz w:val="32"/>
          <w:szCs w:val="24"/>
          <w:lang w:eastAsia="ru-RU"/>
        </w:rPr>
        <w:t xml:space="preserve"> терроризма</w:t>
      </w:r>
      <w:r w:rsidR="00943632">
        <w:rPr>
          <w:rFonts w:ascii="Times New Roman" w:eastAsia="Times New Roman" w:hAnsi="Times New Roman" w:cs="Times New Roman"/>
          <w:b/>
          <w:bCs/>
          <w:color w:val="000000"/>
          <w:sz w:val="32"/>
          <w:szCs w:val="24"/>
          <w:lang w:eastAsia="ru-RU"/>
        </w:rPr>
        <w:t xml:space="preserve"> и экстремизма среди </w:t>
      </w:r>
      <w:proofErr w:type="gramStart"/>
      <w:r w:rsidR="00943632">
        <w:rPr>
          <w:rFonts w:ascii="Times New Roman" w:eastAsia="Times New Roman" w:hAnsi="Times New Roman" w:cs="Times New Roman"/>
          <w:b/>
          <w:bCs/>
          <w:color w:val="000000"/>
          <w:sz w:val="32"/>
          <w:szCs w:val="24"/>
          <w:lang w:eastAsia="ru-RU"/>
        </w:rPr>
        <w:t>обучающихся</w:t>
      </w:r>
      <w:proofErr w:type="gramEnd"/>
      <w:r w:rsidRPr="00222982">
        <w:rPr>
          <w:rFonts w:ascii="Times New Roman" w:eastAsia="Times New Roman" w:hAnsi="Times New Roman" w:cs="Times New Roman"/>
          <w:b/>
          <w:bCs/>
          <w:color w:val="000000"/>
          <w:sz w:val="32"/>
          <w:szCs w:val="24"/>
          <w:lang w:eastAsia="ru-RU"/>
        </w:rPr>
        <w:t>»</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BB12C2" w:rsidP="00BB12C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Аюбова Р.С</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 заместитель директора по ВР, </w:t>
            </w:r>
            <w:r>
              <w:rPr>
                <w:rFonts w:ascii="Times New Roman" w:eastAsia="Times New Roman" w:hAnsi="Times New Roman" w:cs="Times New Roman"/>
                <w:color w:val="000000"/>
                <w:sz w:val="24"/>
                <w:szCs w:val="24"/>
                <w:lang w:eastAsia="ru-RU"/>
              </w:rPr>
              <w:t>Вагабова С.О.</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заместитель директора по УВР, </w:t>
            </w:r>
            <w:r>
              <w:rPr>
                <w:rFonts w:ascii="Times New Roman" w:eastAsia="Times New Roman" w:hAnsi="Times New Roman" w:cs="Times New Roman"/>
                <w:color w:val="000000"/>
                <w:sz w:val="24"/>
                <w:szCs w:val="24"/>
                <w:lang w:eastAsia="ru-RU"/>
              </w:rPr>
              <w:t>Исакова И.Ж</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 педагог-психолог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BB12C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r w:rsidR="00BB12C2">
              <w:rPr>
                <w:rFonts w:ascii="Times New Roman" w:eastAsia="Times New Roman" w:hAnsi="Times New Roman" w:cs="Times New Roman"/>
                <w:color w:val="000000"/>
                <w:sz w:val="24"/>
                <w:szCs w:val="24"/>
                <w:lang w:eastAsia="ru-RU"/>
              </w:rPr>
              <w:t>21</w:t>
            </w:r>
            <w:r w:rsidRPr="00222982">
              <w:rPr>
                <w:rFonts w:ascii="Times New Roman" w:eastAsia="Times New Roman" w:hAnsi="Times New Roman" w:cs="Times New Roman"/>
                <w:color w:val="000000"/>
                <w:sz w:val="24"/>
                <w:szCs w:val="24"/>
                <w:lang w:eastAsia="ru-RU"/>
              </w:rPr>
              <w:t>-2023гг.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w:t>
            </w:r>
            <w:r w:rsidRPr="00222982">
              <w:rPr>
                <w:rFonts w:ascii="Times New Roman" w:eastAsia="Times New Roman" w:hAnsi="Times New Roman" w:cs="Times New Roman"/>
                <w:color w:val="000000"/>
                <w:sz w:val="24"/>
                <w:szCs w:val="24"/>
                <w:lang w:eastAsia="ru-RU"/>
              </w:rPr>
              <w:lastRenderedPageBreak/>
              <w:t>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поведения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BB12C2">
        <w:rPr>
          <w:rFonts w:ascii="Times New Roman" w:eastAsia="Times New Roman" w:hAnsi="Times New Roman" w:cs="Times New Roman"/>
          <w:color w:val="000000"/>
          <w:sz w:val="24"/>
          <w:szCs w:val="24"/>
          <w:lang w:eastAsia="ru-RU"/>
        </w:rPr>
        <w:t>МКОУ «Аверьяновская СОШ».</w:t>
      </w:r>
      <w:r w:rsidRPr="00222982">
        <w:rPr>
          <w:rFonts w:ascii="Times New Roman" w:eastAsia="Times New Roman" w:hAnsi="Times New Roman" w:cs="Times New Roman"/>
          <w:color w:val="000000"/>
          <w:sz w:val="24"/>
          <w:szCs w:val="24"/>
          <w:lang w:eastAsia="ru-RU"/>
        </w:rPr>
        <w:t xml:space="preserve">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w:t>
      </w:r>
      <w:r w:rsidRPr="00222982">
        <w:rPr>
          <w:rFonts w:ascii="Times New Roman" w:eastAsia="Times New Roman" w:hAnsi="Times New Roman" w:cs="Times New Roman"/>
          <w:color w:val="000000"/>
          <w:sz w:val="24"/>
          <w:szCs w:val="24"/>
          <w:lang w:eastAsia="ru-RU"/>
        </w:rPr>
        <w:lastRenderedPageBreak/>
        <w:t>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w:t>
      </w:r>
      <w:r w:rsidR="00BB12C2">
        <w:rPr>
          <w:rFonts w:ascii="Times New Roman" w:eastAsia="Times New Roman" w:hAnsi="Times New Roman" w:cs="Times New Roman"/>
          <w:b/>
          <w:bCs/>
          <w:color w:val="000000"/>
          <w:sz w:val="24"/>
          <w:szCs w:val="24"/>
          <w:lang w:eastAsia="ru-RU"/>
        </w:rPr>
        <w:t>21</w:t>
      </w:r>
      <w:r w:rsidRPr="00222982">
        <w:rPr>
          <w:rFonts w:ascii="Times New Roman" w:eastAsia="Times New Roman" w:hAnsi="Times New Roman" w:cs="Times New Roman"/>
          <w:b/>
          <w:bCs/>
          <w:color w:val="000000"/>
          <w:sz w:val="24"/>
          <w:szCs w:val="24"/>
          <w:lang w:eastAsia="ru-RU"/>
        </w:rPr>
        <w:t>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w:t>
      </w:r>
      <w:r w:rsidR="00BB12C2">
        <w:rPr>
          <w:rFonts w:ascii="Times New Roman" w:eastAsia="Times New Roman" w:hAnsi="Times New Roman" w:cs="Times New Roman"/>
          <w:b/>
          <w:bCs/>
          <w:color w:val="000000"/>
          <w:sz w:val="24"/>
          <w:szCs w:val="24"/>
          <w:lang w:eastAsia="ru-RU"/>
        </w:rPr>
        <w:t>1</w:t>
      </w:r>
      <w:r w:rsidRPr="00222982">
        <w:rPr>
          <w:rFonts w:ascii="Times New Roman" w:eastAsia="Times New Roman" w:hAnsi="Times New Roman" w:cs="Times New Roman"/>
          <w:b/>
          <w:bCs/>
          <w:color w:val="000000"/>
          <w:sz w:val="24"/>
          <w:szCs w:val="24"/>
          <w:lang w:eastAsia="ru-RU"/>
        </w:rPr>
        <w:t>-2023гг.)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6"/>
        <w:gridCol w:w="5512"/>
      </w:tblGrid>
      <w:tr w:rsidR="00222982" w:rsidRPr="00222982" w:rsidTr="00BB12C2">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BB12C2">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BB12C2">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w:t>
            </w:r>
            <w:r w:rsidRPr="00222982">
              <w:rPr>
                <w:rFonts w:ascii="Times New Roman" w:eastAsia="Times New Roman" w:hAnsi="Times New Roman" w:cs="Times New Roman"/>
                <w:color w:val="000000"/>
                <w:sz w:val="24"/>
                <w:szCs w:val="24"/>
                <w:lang w:eastAsia="ru-RU"/>
              </w:rPr>
              <w:lastRenderedPageBreak/>
              <w:t>гражданин России"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участие не менее 2 проектов</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BB12C2">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BB12C2">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BB12C2" w:rsidRDefault="00BB12C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BB12C2" w:rsidRDefault="00BB12C2"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943632">
      <w:pgSz w:w="11906" w:h="16838"/>
      <w:pgMar w:top="568" w:right="566" w:bottom="567" w:left="709"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0519D6"/>
    <w:rsid w:val="00113EF8"/>
    <w:rsid w:val="001C4F2D"/>
    <w:rsid w:val="00222982"/>
    <w:rsid w:val="00230B98"/>
    <w:rsid w:val="00611B24"/>
    <w:rsid w:val="006A1715"/>
    <w:rsid w:val="006A4173"/>
    <w:rsid w:val="007210AA"/>
    <w:rsid w:val="007F256B"/>
    <w:rsid w:val="00887C6A"/>
    <w:rsid w:val="00943632"/>
    <w:rsid w:val="009F66D7"/>
    <w:rsid w:val="00BB12C2"/>
    <w:rsid w:val="00CB357A"/>
    <w:rsid w:val="00EB13B7"/>
    <w:rsid w:val="00EF07B4"/>
    <w:rsid w:val="00EF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788BB-EFF2-411A-9800-1639B9BA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Pages>
  <Words>5005</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max</cp:lastModifiedBy>
  <cp:revision>9</cp:revision>
  <cp:lastPrinted>2021-09-22T06:05:00Z</cp:lastPrinted>
  <dcterms:created xsi:type="dcterms:W3CDTF">2019-10-08T12:40:00Z</dcterms:created>
  <dcterms:modified xsi:type="dcterms:W3CDTF">2021-09-22T06:16:00Z</dcterms:modified>
</cp:coreProperties>
</file>